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65" w:type="dxa"/>
        <w:tblLook w:val="04A0" w:firstRow="1" w:lastRow="0" w:firstColumn="1" w:lastColumn="0" w:noHBand="0" w:noVBand="1"/>
      </w:tblPr>
      <w:tblGrid>
        <w:gridCol w:w="2702"/>
        <w:gridCol w:w="7463"/>
      </w:tblGrid>
      <w:tr w:rsidR="006B37E1" w:rsidRPr="006B37E1" w:rsidTr="006B37E1">
        <w:tc>
          <w:tcPr>
            <w:tcW w:w="2702" w:type="dxa"/>
          </w:tcPr>
          <w:p w:rsidR="006B37E1" w:rsidRPr="006B37E1" w:rsidRDefault="006B37E1" w:rsidP="005105AA">
            <w:pPr>
              <w:rPr>
                <w:rFonts w:asciiTheme="minorHAnsi" w:hAnsiTheme="minorHAnsi" w:cstheme="minorBidi"/>
                <w:b/>
                <w:bCs/>
                <w:sz w:val="20"/>
                <w:szCs w:val="20"/>
              </w:rPr>
            </w:pPr>
            <w:r w:rsidRPr="006B37E1">
              <w:rPr>
                <w:rFonts w:asciiTheme="minorHAnsi" w:eastAsia="Arial" w:hAnsiTheme="minorHAnsi" w:cstheme="minorBidi"/>
                <w:b/>
                <w:bCs/>
                <w:sz w:val="20"/>
                <w:szCs w:val="20"/>
              </w:rPr>
              <w:t>Case Detection, Case Confirmation, Contact Tracing, Case Recording, Case Reporting.</w:t>
            </w:r>
          </w:p>
        </w:tc>
        <w:tc>
          <w:tcPr>
            <w:tcW w:w="7463" w:type="dxa"/>
          </w:tcPr>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strengthen disease surveillance systems, public health laboratories, and epidemiological capacity for early detection and confirmation of cases;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combine detection of new cases with active contact tracing;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support epidemiological investigation;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strengthen risk assessment, and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provide on-time data and information for guiding decision-making and response and mitigation activities</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strengthen health management information</w:t>
            </w:r>
          </w:p>
        </w:tc>
      </w:tr>
      <w:tr w:rsidR="006B37E1" w:rsidRPr="006B37E1" w:rsidTr="006B37E1">
        <w:tc>
          <w:tcPr>
            <w:tcW w:w="2702" w:type="dxa"/>
          </w:tcPr>
          <w:p w:rsidR="006B37E1" w:rsidRPr="006B37E1" w:rsidRDefault="006B37E1" w:rsidP="005105AA">
            <w:pPr>
              <w:rPr>
                <w:rFonts w:asciiTheme="minorHAnsi" w:hAnsiTheme="minorHAnsi" w:cstheme="minorBidi"/>
                <w:b/>
                <w:bCs/>
                <w:sz w:val="20"/>
                <w:szCs w:val="20"/>
              </w:rPr>
            </w:pPr>
            <w:r w:rsidRPr="006B37E1">
              <w:rPr>
                <w:rFonts w:asciiTheme="minorHAnsi" w:eastAsia="Arial" w:hAnsiTheme="minorHAnsi" w:cstheme="minorBidi"/>
                <w:b/>
                <w:bCs/>
                <w:sz w:val="20"/>
                <w:szCs w:val="20"/>
              </w:rPr>
              <w:t>Social Distancing Measures</w:t>
            </w:r>
          </w:p>
        </w:tc>
        <w:tc>
          <w:tcPr>
            <w:tcW w:w="7463" w:type="dxa"/>
          </w:tcPr>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to develop guidelines on social distancing measures (e.g., in phases)</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to operationalize existing or new laws and regulations, support coordination among sectoral ministries and agencies, and support the ministries of health on the caring of health and other personnel involved in pandemic control activities.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personal hygiene promotion, including promoting handwashing and proper cooking, and distribution and use of masks</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increased awareness and promotion of community participation in slowing the spread of the pandemic</w:t>
            </w:r>
          </w:p>
        </w:tc>
      </w:tr>
      <w:tr w:rsidR="006B37E1" w:rsidRPr="006B37E1" w:rsidTr="006B37E1">
        <w:tc>
          <w:tcPr>
            <w:tcW w:w="2702" w:type="dxa"/>
          </w:tcPr>
          <w:p w:rsidR="006B37E1" w:rsidRPr="006B37E1" w:rsidRDefault="006B37E1" w:rsidP="005105AA">
            <w:pPr>
              <w:rPr>
                <w:rFonts w:asciiTheme="minorHAnsi" w:hAnsiTheme="minorHAnsi" w:cstheme="minorBidi"/>
                <w:b/>
                <w:bCs/>
                <w:sz w:val="20"/>
                <w:szCs w:val="20"/>
              </w:rPr>
            </w:pPr>
            <w:r w:rsidRPr="006B37E1">
              <w:rPr>
                <w:rFonts w:asciiTheme="minorHAnsi" w:eastAsia="Arial" w:hAnsiTheme="minorHAnsi" w:cstheme="minorBidi"/>
                <w:b/>
                <w:bCs/>
                <w:sz w:val="20"/>
                <w:szCs w:val="20"/>
              </w:rPr>
              <w:t>Health System Strengthening</w:t>
            </w:r>
          </w:p>
        </w:tc>
        <w:tc>
          <w:tcPr>
            <w:tcW w:w="7463" w:type="dxa"/>
          </w:tcPr>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training health facilities staff and front-line workers on risk mitigation measures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provision of protective equipment and hygiene materials</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Strengthened clinical care capacity could be achieved through financing plans for establishing specialized units in selected hospitals, treatment guidelines, and hospital infection control guidelines.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strategies would be developed to increase hospital bed availability, including deferring elective procedures, more stringent triage for admission, and earlier discharge with follow-up by home health care personnel.</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to rehabilitate and equip selected health facilities for the delivery of critical medical services and to cope with increased demand of services posed by the outbreak, develop intra-hospital infection control measures, including necessary improvements in blood transfusion services to ensure the availability of blood products and their safety to prevent the transmission of viruses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ensuring safe water and basic sanitation in health facilities, as well as to strengthen medical waste management and disposal systems, mobilize additional health personnel, training of health personnel, provision of medical supplies, diagnostic reagents, including kits, other operational expenses such as those related to mobilization of health teams and salaries, hazard/indemnity pay consistent with the amounts currently paid by respective Governments during the crisis.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Bidi"/>
                <w:sz w:val="20"/>
                <w:szCs w:val="20"/>
              </w:rPr>
            </w:pPr>
            <w:r w:rsidRPr="006B37E1">
              <w:rPr>
                <w:rFonts w:asciiTheme="minorHAnsi" w:eastAsia="Arial" w:hAnsiTheme="minorHAnsi" w:cstheme="minorBidi"/>
                <w:sz w:val="20"/>
                <w:szCs w:val="20"/>
              </w:rPr>
              <w:t>to improve access to information and scientific knowledge using knowledge management tools, including the review and synthesis of scientific information for distribution to the public health community, and undertake applied and clinical research.</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to help establish health care facilities in non-traditional sites to help address temporary surge needs.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Bidi"/>
                <w:sz w:val="20"/>
                <w:szCs w:val="20"/>
              </w:rPr>
            </w:pPr>
            <w:r w:rsidRPr="006B37E1">
              <w:rPr>
                <w:rFonts w:asciiTheme="minorHAnsi" w:eastAsia="Arial" w:hAnsiTheme="minorHAnsi" w:cstheme="minorBidi"/>
                <w:sz w:val="20"/>
                <w:szCs w:val="20"/>
              </w:rPr>
              <w:t>drone technology would be supported for the timely delivery of essential drugs, medical supplies, and blood products for the care of populations living in hard to reach regions, particularly in rural settings.</w:t>
            </w:r>
          </w:p>
        </w:tc>
      </w:tr>
      <w:tr w:rsidR="006B37E1" w:rsidRPr="006B37E1" w:rsidTr="006B37E1">
        <w:tc>
          <w:tcPr>
            <w:tcW w:w="2702" w:type="dxa"/>
          </w:tcPr>
          <w:p w:rsidR="006B37E1" w:rsidRPr="006B37E1" w:rsidRDefault="006B37E1" w:rsidP="005105AA">
            <w:pPr>
              <w:rPr>
                <w:rFonts w:asciiTheme="minorHAnsi" w:eastAsia="Arial" w:hAnsiTheme="minorHAnsi" w:cstheme="minorHAnsi"/>
                <w:b/>
                <w:bCs/>
                <w:sz w:val="20"/>
                <w:szCs w:val="20"/>
              </w:rPr>
            </w:pPr>
            <w:r w:rsidRPr="006B37E1">
              <w:rPr>
                <w:rFonts w:asciiTheme="minorHAnsi" w:eastAsia="Arial" w:hAnsiTheme="minorHAnsi" w:cstheme="minorHAnsi"/>
                <w:b/>
                <w:bCs/>
                <w:sz w:val="20"/>
                <w:szCs w:val="20"/>
              </w:rPr>
              <w:t>Communication Preparedness</w:t>
            </w:r>
          </w:p>
        </w:tc>
        <w:tc>
          <w:tcPr>
            <w:tcW w:w="7463" w:type="dxa"/>
          </w:tcPr>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the development and distribution of basic communication materials (such as question and answer sheets and fact sheets) </w:t>
            </w:r>
            <w:proofErr w:type="gramStart"/>
            <w:r w:rsidRPr="006B37E1">
              <w:rPr>
                <w:rFonts w:asciiTheme="minorHAnsi" w:eastAsia="Arial" w:hAnsiTheme="minorHAnsi" w:cstheme="minorHAnsi"/>
                <w:bCs/>
                <w:sz w:val="20"/>
                <w:szCs w:val="20"/>
              </w:rPr>
              <w:t>on  COVID</w:t>
            </w:r>
            <w:proofErr w:type="gramEnd"/>
            <w:r w:rsidRPr="006B37E1">
              <w:rPr>
                <w:rFonts w:asciiTheme="minorHAnsi" w:eastAsia="Arial" w:hAnsiTheme="minorHAnsi" w:cstheme="minorHAnsi"/>
                <w:bCs/>
                <w:sz w:val="20"/>
                <w:szCs w:val="20"/>
              </w:rPr>
              <w:t>-19</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general preventive measures such</w:t>
            </w:r>
            <w:bookmarkStart w:id="0" w:name="page15"/>
            <w:bookmarkEnd w:id="0"/>
            <w:r w:rsidRPr="006B37E1">
              <w:rPr>
                <w:rFonts w:asciiTheme="minorHAnsi" w:eastAsia="Arial" w:hAnsiTheme="minorHAnsi" w:cstheme="minorHAnsi"/>
                <w:bCs/>
                <w:sz w:val="20"/>
                <w:szCs w:val="20"/>
              </w:rPr>
              <w:t xml:space="preserve"> as “dos” and “don’ts” for the general public;</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information and guidelines for health care providers: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training modules (web-based, printed, and video);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presentations, slide sets, videos, and documentaries; and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symposia on surveillance, treatment and prophylaxis.</w:t>
            </w:r>
          </w:p>
          <w:p w:rsidR="006B37E1" w:rsidRPr="006B37E1" w:rsidRDefault="006B37E1" w:rsidP="005105AA">
            <w:pPr>
              <w:rPr>
                <w:rFonts w:asciiTheme="minorHAnsi" w:eastAsia="Arial" w:hAnsiTheme="minorHAnsi" w:cstheme="minorHAnsi"/>
                <w:bCs/>
                <w:color w:val="000000"/>
                <w:sz w:val="20"/>
                <w:szCs w:val="20"/>
              </w:rPr>
            </w:pPr>
          </w:p>
        </w:tc>
      </w:tr>
      <w:tr w:rsidR="006B37E1" w:rsidRPr="006C3739" w:rsidTr="006B37E1">
        <w:tc>
          <w:tcPr>
            <w:tcW w:w="2702" w:type="dxa"/>
          </w:tcPr>
          <w:p w:rsidR="006B37E1" w:rsidRPr="006B37E1" w:rsidRDefault="006B37E1" w:rsidP="005105AA">
            <w:pPr>
              <w:rPr>
                <w:rFonts w:asciiTheme="minorHAnsi" w:hAnsiTheme="minorHAnsi" w:cstheme="minorHAnsi"/>
                <w:sz w:val="20"/>
                <w:szCs w:val="20"/>
              </w:rPr>
            </w:pPr>
            <w:r w:rsidRPr="006B37E1">
              <w:rPr>
                <w:rFonts w:asciiTheme="minorHAnsi" w:eastAsia="Arial" w:hAnsiTheme="minorHAnsi" w:cstheme="minorHAnsi"/>
                <w:b/>
                <w:bCs/>
                <w:sz w:val="20"/>
                <w:szCs w:val="20"/>
              </w:rPr>
              <w:t>Social and Financial Support to Households</w:t>
            </w:r>
          </w:p>
        </w:tc>
        <w:tc>
          <w:tcPr>
            <w:tcW w:w="7463" w:type="dxa"/>
          </w:tcPr>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fee-waivers to access medical care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cash transfers to mitigate loss of household income due to job losses that may result from the closure of firms and enterprises, and well as government agencies, during the outbreak. </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Focus on women</w:t>
            </w:r>
          </w:p>
          <w:p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provision of food and basic supplies to quarantined populations and Covid-19 affected households would be supported.</w:t>
            </w:r>
          </w:p>
        </w:tc>
      </w:tr>
    </w:tbl>
    <w:p w:rsidR="00AE0E77" w:rsidRDefault="00AE0E77"/>
    <w:sectPr w:rsidR="00AE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1790C"/>
    <w:multiLevelType w:val="hybridMultilevel"/>
    <w:tmpl w:val="4AC84F62"/>
    <w:lvl w:ilvl="0" w:tplc="FFFFFFFF">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E1"/>
    <w:rsid w:val="006B37E1"/>
    <w:rsid w:val="00856186"/>
    <w:rsid w:val="008E0405"/>
    <w:rsid w:val="00AE0E77"/>
    <w:rsid w:val="00B2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2629"/>
  <w15:chartTrackingRefBased/>
  <w15:docId w15:val="{A4DF36FF-A804-4834-AC08-FB12CA6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7E1"/>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6B37E1"/>
    <w:pPr>
      <w:widowControl w:val="0"/>
      <w:autoSpaceDE w:val="0"/>
      <w:autoSpaceDN w:val="0"/>
      <w:adjustRightInd w:val="0"/>
      <w:ind w:left="720"/>
      <w:contextualSpacing/>
    </w:pPr>
    <w:rPr>
      <w:rFonts w:ascii="Arial" w:eastAsia="Times New Roman" w:hAnsi="Arial" w:cs="Arial"/>
      <w:color w:val="000000"/>
      <w:sz w:val="24"/>
      <w:szCs w:val="24"/>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rsid w:val="006B37E1"/>
    <w:rPr>
      <w:rFonts w:ascii="Arial" w:eastAsia="Times New Roman" w:hAnsi="Arial" w:cs="Arial"/>
      <w:color w:val="000000"/>
      <w:sz w:val="24"/>
      <w:szCs w:val="24"/>
    </w:rPr>
  </w:style>
  <w:style w:type="table" w:styleId="TableGrid">
    <w:name w:val="Table Grid"/>
    <w:basedOn w:val="TableNormal"/>
    <w:uiPriority w:val="39"/>
    <w:rsid w:val="006B3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D04A1-3548-43EB-BFB6-5111037D8D0E}">
  <ds:schemaRefs>
    <ds:schemaRef ds:uri="http://schemas.microsoft.com/sharepoint/v3/contenttype/forms"/>
  </ds:schemaRefs>
</ds:datastoreItem>
</file>

<file path=customXml/itemProps2.xml><?xml version="1.0" encoding="utf-8"?>
<ds:datastoreItem xmlns:ds="http://schemas.openxmlformats.org/officeDocument/2006/customXml" ds:itemID="{DF1B8B16-85EE-42D2-A35A-534E85E095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7D5C2-F736-494B-934E-35945EA4F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Yoshini Naomi Rupasinghe</dc:creator>
  <cp:keywords/>
  <dc:description/>
  <cp:lastModifiedBy>Volkan Cetinkaya</cp:lastModifiedBy>
  <cp:revision>2</cp:revision>
  <dcterms:created xsi:type="dcterms:W3CDTF">2020-03-12T16:33:00Z</dcterms:created>
  <dcterms:modified xsi:type="dcterms:W3CDTF">2020-03-12T16:33:00Z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